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XX大学201</w:t>
      </w:r>
      <w:r>
        <w:rPr>
          <w:rFonts w:ascii="黑体" w:hAnsi="黑体" w:eastAsia="黑体"/>
          <w:sz w:val="36"/>
        </w:rPr>
        <w:t>8</w:t>
      </w:r>
      <w:r>
        <w:rPr>
          <w:rFonts w:hint="eastAsia" w:ascii="黑体" w:hAnsi="黑体" w:eastAsia="黑体"/>
          <w:sz w:val="36"/>
        </w:rPr>
        <w:t>年唐立新奖学金推荐表</w:t>
      </w:r>
    </w:p>
    <w:tbl>
      <w:tblPr>
        <w:tblStyle w:val="7"/>
        <w:tblpPr w:leftFromText="180" w:rightFromText="180" w:vertAnchor="page" w:horzAnchor="margin" w:tblpXSpec="center" w:tblpY="2666"/>
        <w:tblW w:w="100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58"/>
        <w:gridCol w:w="1451"/>
        <w:gridCol w:w="993"/>
        <w:gridCol w:w="1275"/>
        <w:gridCol w:w="1418"/>
        <w:gridCol w:w="816"/>
        <w:gridCol w:w="2586"/>
      </w:tblGrid>
      <w:tr>
        <w:trPr>
          <w:trHeight w:val="567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被推荐人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学院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28" w:hRule="atLeast"/>
        </w:trPr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推荐人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学院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rPr>
          <w:trHeight w:val="446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推荐人类型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ind w:firstLine="720" w:firstLineChars="3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指导老师□   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奖学金成员□</w:t>
            </w:r>
          </w:p>
        </w:tc>
      </w:tr>
      <w:tr>
        <w:trPr>
          <w:trHeight w:val="1074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推荐理由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（推荐理由应当全面详实，能够如实反映学生学习成绩、社会实践、创新能力、学术能力、综合素质等方面，应能够准确体现被推荐人的优秀表现和突出特点）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推荐人签字：</w:t>
            </w:r>
          </w:p>
          <w:p>
            <w:pPr>
              <w:ind w:firstLine="5760" w:firstLineChars="24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推荐日期：</w:t>
            </w: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A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2016-09-18T17:04:00Z</dcterms:created>
  <dc:creator>贾金龙</dc:creator>
  <cp:lastModifiedBy>陈艺的 iPad</cp:lastModifiedBy>
  <dcterms:modified xsi:type="dcterms:W3CDTF">2018-10-08T17:13:13Z</dcterms:modified>
  <dc:title>唐立新教育发展基金会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